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6237" w:right="0" w:hanging="0"/>
        <w:jc w:val="right"/>
        <w:rPr/>
      </w:pPr>
      <w:r>
        <w:rPr>
          <w:rFonts w:ascii="Times New Roman" w:hAnsi="Times New Roman"/>
          <w:i/>
        </w:rPr>
        <w:t xml:space="preserve">Приложение </w:t>
      </w:r>
      <w:r>
        <w:rPr>
          <w:rFonts w:ascii="Times New Roman" w:hAnsi="Times New Roman"/>
          <w:i/>
        </w:rPr>
        <w:t xml:space="preserve">№ </w:t>
      </w:r>
      <w:r>
        <w:rPr>
          <w:rFonts w:ascii="Times New Roman" w:hAnsi="Times New Roman"/>
          <w:i/>
        </w:rPr>
        <w:t>2</w:t>
      </w:r>
    </w:p>
    <w:p>
      <w:pPr>
        <w:pStyle w:val="Normal"/>
        <w:widowControl w:val="false"/>
        <w:spacing w:lineRule="auto" w:line="240" w:before="0" w:after="0"/>
        <w:ind w:left="6237" w:right="0" w:hanging="0"/>
        <w:jc w:val="right"/>
        <w:rPr/>
      </w:pPr>
      <w:r>
        <w:rPr>
          <w:rFonts w:ascii="Times New Roman" w:hAnsi="Times New Roman"/>
          <w:i/>
        </w:rPr>
        <w:t xml:space="preserve">к </w:t>
      </w:r>
      <w:r>
        <w:rPr>
          <w:rFonts w:ascii="Times New Roman" w:hAnsi="Times New Roman"/>
          <w:i/>
        </w:rPr>
        <w:t>Техническ</w:t>
      </w:r>
      <w:r>
        <w:rPr>
          <w:rFonts w:ascii="Times New Roman" w:hAnsi="Times New Roman"/>
          <w:i/>
        </w:rPr>
        <w:t>им требованиям</w:t>
      </w:r>
    </w:p>
    <w:p>
      <w:pPr>
        <w:pStyle w:val="Normal"/>
        <w:widowControl w:val="false"/>
        <w:spacing w:lineRule="auto" w:line="240" w:before="0" w:after="0"/>
        <w:ind w:left="6237" w:right="0" w:hanging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lineRule="auto" w:line="240" w:before="0"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Основные нормативно-технические документы (НТД), </w:t>
      </w:r>
    </w:p>
    <w:p>
      <w:pPr>
        <w:pStyle w:val="Normal"/>
        <w:widowControl w:val="false"/>
        <w:tabs>
          <w:tab w:val="clear" w:pos="708"/>
          <w:tab w:val="left" w:pos="1080" w:leader="none"/>
        </w:tabs>
        <w:spacing w:lineRule="auto" w:line="240" w:before="0"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 выполнению строительно-монтажных работ</w:t>
      </w:r>
    </w:p>
    <w:p>
      <w:pPr>
        <w:pStyle w:val="Normal"/>
        <w:widowControl w:val="false"/>
        <w:tabs>
          <w:tab w:val="clear" w:pos="708"/>
          <w:tab w:val="left" w:pos="-4680" w:leader="none"/>
          <w:tab w:val="left" w:pos="1080" w:leader="none"/>
        </w:tabs>
        <w:spacing w:lineRule="auto" w:line="240" w:before="0" w:after="0"/>
        <w:ind w:left="0" w:right="0" w:firstLine="709"/>
        <w:rPr>
          <w:rFonts w:ascii="Times New Roman" w:hAnsi="Times New Roman"/>
          <w:b/>
          <w:sz w:val="26"/>
          <w:szCs w:val="26"/>
          <w:lang w:eastAsia="ja-JP"/>
        </w:rPr>
      </w:pPr>
      <w:r>
        <w:rPr>
          <w:rFonts w:ascii="Times New Roman" w:hAnsi="Times New Roman"/>
          <w:b/>
          <w:sz w:val="26"/>
          <w:szCs w:val="26"/>
          <w:lang w:eastAsia="ja-JP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Трудовой кодекс РФ;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ПУЭ (действующее издание);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ПТЭ (действующее издание);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Методика определения сметной стоимости строительства,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реконструкции, капитального ремонта, сноса объектов капитального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строительства, работ по сохранению объектов культурного наследия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(памятников истории и культуры) народов Российской Федерации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на территории Российской Федерации, утвержденной приказом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Министерства строительства и жилищно-коммунального хозяйства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Российской Федерации от 4 августа 2020 года N 421/пр</w:t>
      </w:r>
      <w:r>
        <w:rPr>
          <w:rFonts w:ascii="Times New Roman" w:hAnsi="Times New Roman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 48.13330.2019 «Организация строительства»;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 68.13330.2017 «Приемка в эксплуатацию законченных строительством объектов. Основные положения»;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 76.13330.2016 «Электротехнические устройства»;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 126.13330.2017 «Геодезические работы в строительстве»;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РД–11-02-2006 «Требования к исполнительной документации»;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РД–11-05-2007 «Порядок ведения общего журнала работ»;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 1.13-07 «Инструкция по оформлению приемо-сдаточной документации по электромонтажным работам»;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по охране труда при эксплуатации электроустановок (утвержденных приказом Министерства труда и социальной защиты РФ от 15 декабря 2020 № 903 н.;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СНиП 12-03-2001 «Безопасность труда в строительстве», часть 1 «Общие требования»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СНиП 12-04-2002 «Безопасность труда в строительстве», часть 2 «Строительное производство»,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ГОСТ 12.3.032-84 ССБТ «Работы электромонтажные. Общие требования безопасности»,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безопасности при строительстве линий электропередачи и производства электромонтажных работ (РД 153-34.3-03.285-2002),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пожарной безопасности,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ind w:left="0" w:right="0" w:hanging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устройства и безопасной эксплуатации грузоподъемных кранов.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ГОСТ Р 59053-2020, </w:t>
      </w:r>
      <w:r>
        <w:rPr>
          <w:rFonts w:eastAsia="TimesNewRoman" w:ascii="Times New Roman" w:hAnsi="Times New Roman"/>
          <w:sz w:val="26"/>
          <w:szCs w:val="26"/>
        </w:rPr>
        <w:t>ГОСТ Р 59061-2020 по охране окружающей среды.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ВСН 123-90 «Инструкция по оформлению приемо-сдаточной документации по электромонтажным работам».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 по охране труда при эксплуатации электроустановок, утвержденных приказом Министерства труда и социальной защиты РФ от 15 декабря 2020 № 903н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по охране труда при работе на высоте, утв. приказом Минтруда России от 16.11.2020 № 782н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Правила по охране труда при работе с инструментами и приспособлениями утв. приказом Минтруда России от 27.11.2020 № 835н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Инструкция по применению и испытанию средств защиты, используемых в электроустановках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СО 153-34.03.603-2003 (РД 34.03.603)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Правила технической эксплуатации электрических станций и сетей РФ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СО 153-34.20.501-2003 (РД 34.20.501-95)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Правила пожарной безопасности для энергетических предприятий </w:t>
      </w:r>
      <w:r>
        <w:rPr>
          <w:rFonts w:ascii="Times New Roman" w:hAnsi="Times New Roman"/>
          <w:color w:val="000000"/>
          <w:sz w:val="26"/>
          <w:szCs w:val="26"/>
          <w:shd w:fill="FFFFFF" w:val="clear"/>
        </w:rPr>
        <w:t>СО 34.03.301-00 (РД 153-34.0-03.301-00)</w:t>
      </w:r>
      <w:r>
        <w:rPr>
          <w:rFonts w:ascii="Times New Roman" w:hAnsi="Times New Roman"/>
          <w:spacing w:val="-6"/>
          <w:sz w:val="26"/>
          <w:szCs w:val="26"/>
        </w:rPr>
        <w:t>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pacing w:val="-6"/>
          <w:sz w:val="26"/>
          <w:szCs w:val="26"/>
        </w:rPr>
      </w:pPr>
      <w:r>
        <w:rPr>
          <w:rFonts w:ascii="Times New Roman" w:hAnsi="Times New Roman"/>
          <w:spacing w:val="-6"/>
          <w:sz w:val="26"/>
          <w:szCs w:val="26"/>
        </w:rPr>
        <w:t>Межотраслевая инструкция по оказанию первой помощи при несчастных случаях на производстве;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Постановлением от 6 августа 2020 г. N 1192.</w:t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0" w:leader="none"/>
          <w:tab w:val="left" w:pos="426" w:leader="none"/>
        </w:tabs>
        <w:spacing w:before="0" w:after="0"/>
        <w:ind w:left="0" w:right="0" w:hanging="0"/>
        <w:contextualSpacing w:val="false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Положение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утвержденное Постановлением Правительства Российской Федерации от 21.06.2010 № 468.</w:t>
      </w:r>
    </w:p>
    <w:sectPr>
      <w:type w:val="nextPage"/>
      <w:pgSz w:w="11906" w:h="16838"/>
      <w:pgMar w:left="1134" w:right="794" w:gutter="0" w:header="0" w:top="1134" w:footer="0" w:bottom="851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9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kern w:val="2"/>
        <w:sz w:val="22"/>
        <w:lang w:val="ru-RU" w:eastAsia="ru-RU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2"/>
      <w:sz w:val="22"/>
      <w:szCs w:val="22"/>
      <w:lang w:eastAsia="en-US" w:val="ru-RU" w:bidi="ar-SA"/>
    </w:rPr>
  </w:style>
  <w:style w:type="paragraph" w:styleId="Heading1">
    <w:name w:val="Heading 1"/>
    <w:basedOn w:val="Normal"/>
    <w:qFormat/>
    <w:pPr>
      <w:keepNext w:val="true"/>
      <w:numPr>
        <w:ilvl w:val="0"/>
        <w:numId w:val="0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3">
    <w:name w:val="Heading 3"/>
    <w:basedOn w:val="Normal"/>
    <w:autoRedefine/>
    <w:qFormat/>
    <w:pPr>
      <w:keepNext w:val="true"/>
      <w:numPr>
        <w:ilvl w:val="0"/>
        <w:numId w:val="0"/>
      </w:numPr>
      <w:spacing w:lineRule="auto" w:line="240" w:before="0" w:after="0"/>
      <w:ind w:left="0" w:right="0" w:firstLine="709"/>
      <w:jc w:val="both"/>
      <w:outlineLvl w:val="2"/>
    </w:pPr>
    <w:rPr>
      <w:rFonts w:ascii="Times New Roman" w:hAnsi="Times New Roman" w:eastAsia="Times New Roman"/>
      <w:sz w:val="26"/>
      <w:szCs w:val="26"/>
      <w:lang w:eastAsia="ru-RU"/>
    </w:rPr>
  </w:style>
  <w:style w:type="character" w:styleId="DefaultParagraphFont">
    <w:name w:val="Default Paragraph Font"/>
    <w:qFormat/>
    <w:rPr/>
  </w:style>
  <w:style w:type="character" w:styleId="3">
    <w:name w:val="Заголовок 3 Знак"/>
    <w:qFormat/>
    <w:rPr>
      <w:rFonts w:ascii="Times New Roman" w:hAnsi="Times New Roman" w:cs="Times New Roman"/>
      <w:sz w:val="26"/>
      <w:szCs w:val="26"/>
      <w:lang w:eastAsia="ru-RU"/>
    </w:rPr>
  </w:style>
  <w:style w:type="character" w:styleId="31">
    <w:name w:val="Основной текст с отступом 3 Знак"/>
    <w:qFormat/>
    <w:rPr>
      <w:rFonts w:ascii="Times New Roman" w:hAnsi="Times New Roman" w:cs="Times New Roman"/>
      <w:sz w:val="20"/>
      <w:szCs w:val="20"/>
      <w:lang w:eastAsia="ru-RU"/>
    </w:rPr>
  </w:style>
  <w:style w:type="character" w:styleId="Style7">
    <w:name w:val="Нижний колонтитул Знак"/>
    <w:qFormat/>
    <w:rPr>
      <w:rFonts w:ascii="Times New Roman" w:hAnsi="Times New Roman" w:cs="Times New Roman"/>
      <w:sz w:val="20"/>
      <w:szCs w:val="20"/>
      <w:lang w:eastAsia="ru-RU"/>
    </w:rPr>
  </w:style>
  <w:style w:type="character" w:styleId="Style8">
    <w:name w:val="Верхний колонтитул Знак"/>
    <w:qFormat/>
    <w:rPr>
      <w:rFonts w:ascii="Times New Roman" w:hAnsi="Times New Roman" w:cs="Times New Roman"/>
      <w:sz w:val="20"/>
      <w:szCs w:val="20"/>
      <w:lang w:eastAsia="ru-RU"/>
    </w:rPr>
  </w:style>
  <w:style w:type="character" w:styleId="Style9">
    <w:name w:val="Текст выноски Знак"/>
    <w:qFormat/>
    <w:rPr>
      <w:rFonts w:ascii="Tahoma" w:hAnsi="Tahoma" w:cs="Tahoma"/>
      <w:sz w:val="16"/>
      <w:szCs w:val="16"/>
    </w:rPr>
  </w:style>
  <w:style w:type="character" w:styleId="Postbody1">
    <w:name w:val="postbody1"/>
    <w:qFormat/>
    <w:rPr>
      <w:sz w:val="18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10">
    <w:name w:val="Текст примечания Знак"/>
    <w:qFormat/>
    <w:rPr>
      <w:lang w:eastAsia="en-US"/>
    </w:rPr>
  </w:style>
  <w:style w:type="character" w:styleId="Style11">
    <w:name w:val="Тема примечания Знак"/>
    <w:qFormat/>
    <w:rPr>
      <w:b/>
      <w:bCs/>
      <w:lang w:eastAsia="en-US"/>
    </w:rPr>
  </w:style>
  <w:style w:type="character" w:styleId="Style12">
    <w:name w:val="Основной текст с отступом Знак"/>
    <w:qFormat/>
    <w:rPr>
      <w:sz w:val="22"/>
      <w:szCs w:val="22"/>
      <w:lang w:eastAsia="en-US"/>
    </w:rPr>
  </w:style>
  <w:style w:type="character" w:styleId="Style13">
    <w:name w:val="Основной текст Знак"/>
    <w:qFormat/>
    <w:rPr>
      <w:sz w:val="22"/>
      <w:szCs w:val="22"/>
      <w:lang w:eastAsia="en-US"/>
    </w:rPr>
  </w:style>
  <w:style w:type="character" w:styleId="Style14">
    <w:name w:val="Текст сноски Знак"/>
    <w:basedOn w:val="DefaultParagraphFont"/>
    <w:qFormat/>
    <w:rPr>
      <w:lang w:eastAsia="en-US"/>
    </w:rPr>
  </w:style>
  <w:style w:type="character" w:styleId="Footnotereference">
    <w:name w:val="footnote reference"/>
    <w:qFormat/>
    <w:rPr>
      <w:vertAlign w:val="superscript"/>
    </w:rPr>
  </w:style>
  <w:style w:type="character" w:styleId="Style15">
    <w:name w:val="Абзац списка Знак"/>
    <w:qFormat/>
    <w:rPr>
      <w:sz w:val="22"/>
      <w:szCs w:val="22"/>
      <w:lang w:eastAsia="en-US"/>
    </w:rPr>
  </w:style>
  <w:style w:type="character" w:styleId="Strong">
    <w:name w:val="Strong"/>
    <w:qFormat/>
    <w:rPr>
      <w:b/>
      <w:b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3">
    <w:name w:val="Body Text Indent 3"/>
    <w:basedOn w:val="Normal"/>
    <w:qFormat/>
    <w:pPr>
      <w:spacing w:lineRule="auto" w:line="240" w:before="0" w:after="0"/>
      <w:ind w:left="0" w:right="0" w:firstLine="851"/>
      <w:jc w:val="both"/>
    </w:pPr>
    <w:rPr>
      <w:rFonts w:ascii="Times New Roman" w:hAnsi="Times New Roman" w:eastAsia="Times New Roman"/>
      <w:sz w:val="28"/>
      <w:szCs w:val="20"/>
      <w:lang w:eastAsia="ru-RU"/>
    </w:rPr>
  </w:style>
  <w:style w:type="paragraph" w:styleId="Style18">
    <w:name w:val="Колонтитул"/>
    <w:basedOn w:val="Normal"/>
    <w:qFormat/>
    <w:pPr/>
    <w:rPr/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60" w:after="0"/>
    </w:pPr>
    <w:rPr>
      <w:rFonts w:ascii="Times New Roman" w:hAnsi="Times New Roman" w:eastAsia="Times New Roman"/>
      <w:szCs w:val="20"/>
      <w:lang w:eastAsia="ru-RU"/>
    </w:rPr>
  </w:style>
  <w:style w:type="paragraph" w:styleId="ConsPlusTitle">
    <w:name w:val="ConsPlusTitle"/>
    <w:qFormat/>
    <w:pPr>
      <w:widowControl w:val="false"/>
      <w:kinsoku w:val="true"/>
      <w:overflowPunct w:val="true"/>
      <w:autoSpaceDE w:val="true"/>
      <w:bidi w:val="0"/>
      <w:jc w:val="left"/>
    </w:pPr>
    <w:rPr>
      <w:rFonts w:ascii="Arial" w:hAnsi="Arial" w:eastAsia="Times New Roman" w:cs="Arial"/>
      <w:b/>
      <w:bCs/>
      <w:color w:val="auto"/>
      <w:kern w:val="2"/>
      <w:sz w:val="22"/>
      <w:szCs w:val="20"/>
      <w:lang w:val="ru-RU" w:eastAsia="ru-RU" w:bidi="ar-SA"/>
    </w:rPr>
  </w:style>
  <w:style w:type="paragraph" w:styleId="ConsNormal">
    <w:name w:val="ConsNormal"/>
    <w:qFormat/>
    <w:pPr>
      <w:widowControl w:val="false"/>
      <w:kinsoku w:val="true"/>
      <w:overflowPunct w:val="true"/>
      <w:autoSpaceDE w:val="true"/>
      <w:bidi w:val="0"/>
      <w:ind w:left="0" w:right="0" w:firstLine="720"/>
      <w:jc w:val="left"/>
    </w:pPr>
    <w:rPr>
      <w:rFonts w:ascii="Arial" w:hAnsi="Arial" w:eastAsia="Times New Roman" w:cs="Arial"/>
      <w:color w:val="auto"/>
      <w:kern w:val="2"/>
      <w:sz w:val="22"/>
      <w:szCs w:val="20"/>
      <w:lang w:val="ru-RU" w:eastAsia="ru-RU" w:bidi="ar-SA"/>
    </w:rPr>
  </w:style>
  <w:style w:type="paragraph" w:styleId="Style121">
    <w:name w:val="Style12"/>
    <w:basedOn w:val="Normal"/>
    <w:qFormat/>
    <w:pPr>
      <w:widowControl w:val="false"/>
      <w:spacing w:lineRule="exact" w:line="302" w:before="0" w:after="0"/>
      <w:ind w:left="0" w:right="0" w:firstLine="715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1">
    <w:name w:val="s_1"/>
    <w:basedOn w:val="Normal"/>
    <w:qFormat/>
    <w:pPr>
      <w:spacing w:lineRule="auto" w:line="240" w:before="280" w:after="28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Header">
    <w:name w:val="Header"/>
    <w:basedOn w:val="Normal"/>
    <w:pPr>
      <w:tabs>
        <w:tab w:val="clear" w:pos="708"/>
        <w:tab w:val="center" w:pos="4153" w:leader="none"/>
        <w:tab w:val="right" w:pos="8306" w:leader="none"/>
      </w:tabs>
      <w:spacing w:lineRule="auto" w:line="240" w:before="0" w:after="0"/>
    </w:pPr>
    <w:rPr>
      <w:rFonts w:ascii="Times New Roman" w:hAnsi="Times New Roman" w:eastAsia="Times New Roman"/>
      <w:sz w:val="20"/>
      <w:szCs w:val="20"/>
      <w:lang w:eastAsia="ru-RU"/>
    </w:rPr>
  </w:style>
  <w:style w:type="paragraph" w:styleId="ListParagraph">
    <w:name w:val="List Paragraph"/>
    <w:basedOn w:val="Normal"/>
    <w:qFormat/>
    <w:pPr>
      <w:spacing w:before="0" w:after="200"/>
      <w:ind w:left="720" w:right="0" w:hanging="0"/>
      <w:contextualSpacing/>
    </w:pPr>
    <w:rPr/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pPr/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Revision">
    <w:name w:val="Revision"/>
    <w:qFormat/>
    <w:pPr>
      <w:widowControl/>
      <w:kinsoku w:val="true"/>
      <w:overflowPunct w:val="true"/>
      <w:autoSpaceDE w:val="true"/>
      <w:bidi w:val="0"/>
      <w:jc w:val="left"/>
    </w:pPr>
    <w:rPr>
      <w:rFonts w:ascii="Calibri" w:hAnsi="Calibri" w:eastAsia="Calibri" w:cs="Times New Roman"/>
      <w:color w:val="auto"/>
      <w:kern w:val="2"/>
      <w:sz w:val="22"/>
      <w:szCs w:val="22"/>
      <w:lang w:eastAsia="en-US" w:val="ru-RU" w:bidi="ar-SA"/>
    </w:rPr>
  </w:style>
  <w:style w:type="paragraph" w:styleId="BodyTextIndent">
    <w:name w:val="Body Text Indent"/>
    <w:basedOn w:val="Normal"/>
    <w:pPr>
      <w:spacing w:before="0" w:after="120"/>
      <w:ind w:left="283" w:right="0" w:hanging="0"/>
    </w:pPr>
    <w:rPr/>
  </w:style>
  <w:style w:type="paragraph" w:styleId="Footnotetext">
    <w:name w:val="footnote text"/>
    <w:basedOn w:val="Normal"/>
    <w:qFormat/>
    <w:pPr>
      <w:spacing w:lineRule="auto" w:line="240" w:before="0" w:after="0"/>
    </w:pPr>
    <w:rPr>
      <w:sz w:val="20"/>
      <w:szCs w:val="20"/>
    </w:rPr>
  </w:style>
  <w:style w:type="numbering" w:styleId="Style19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AlterOffice/3.3.1.3$Linux_X86_64 LibreOffice_project/90d829a0d92d6015ad4fa014ce4f460a7fe6c0ba</Application>
  <AppVersion>15.0000</AppVersion>
  <Pages>2</Pages>
  <Words>389</Words>
  <Characters>2850</Characters>
  <CharactersWithSpaces>3176</CharactersWithSpaces>
  <Paragraphs>33</Paragraphs>
  <Company>ODU Vostoka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2023-08-10T01:26:00Z</dcterms:created>
  <dc:creator>Егоров Илья Сергеевич</dc:creator>
  <dc:description/>
  <dc:language>ru-RU</dc:language>
  <cp:lastModifiedBy>kryuchkov_rv</cp:lastModifiedBy>
  <cp:lastPrinted>2019-06-10T00:39:00Z</cp:lastPrinted>
  <dcterms:modified xsi:type="dcterms:W3CDTF">2026-06-30T11:33:30Z</dcterms:modified>
  <cp:revision>11</cp:revision>
  <dc:subject/>
  <dc:title>СОГЛАСОВАНО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